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4FBE" w14:textId="0F0DCADD" w:rsidR="00BE5C75" w:rsidRDefault="00BE5C75" w:rsidP="00BE5C75">
      <w:pPr>
        <w:jc w:val="both"/>
      </w:pPr>
      <w:r>
        <w:t>Ügyiratszám: B1/ 929-2/2021.</w:t>
      </w:r>
    </w:p>
    <w:p w14:paraId="6360EEDC" w14:textId="77777777" w:rsidR="00BE5C75" w:rsidRDefault="00BE5C75" w:rsidP="00BE5C75">
      <w:pPr>
        <w:jc w:val="both"/>
      </w:pPr>
    </w:p>
    <w:p w14:paraId="18B848AA" w14:textId="77777777" w:rsidR="00BE5C75" w:rsidRDefault="00BE5C75" w:rsidP="00BE5C75">
      <w:pPr>
        <w:jc w:val="both"/>
      </w:pPr>
    </w:p>
    <w:p w14:paraId="70C853F5" w14:textId="77777777" w:rsidR="00BE5C75" w:rsidRDefault="00BE5C75" w:rsidP="00BE5C75">
      <w:pPr>
        <w:jc w:val="center"/>
        <w:rPr>
          <w:b/>
        </w:rPr>
      </w:pPr>
    </w:p>
    <w:p w14:paraId="5049D2AB" w14:textId="77777777" w:rsidR="00BE5C75" w:rsidRDefault="00BE5C75" w:rsidP="00BE5C75">
      <w:pPr>
        <w:jc w:val="center"/>
        <w:rPr>
          <w:b/>
        </w:rPr>
      </w:pPr>
      <w:r>
        <w:rPr>
          <w:b/>
        </w:rPr>
        <w:t>BEZENYE KÖZSÉG POLGÁRMESTERÉNEK</w:t>
      </w:r>
    </w:p>
    <w:p w14:paraId="3B23BCEB" w14:textId="77777777" w:rsidR="00BE5C75" w:rsidRDefault="00BE5C75" w:rsidP="00BE5C75">
      <w:pPr>
        <w:jc w:val="both"/>
      </w:pPr>
    </w:p>
    <w:p w14:paraId="65135232" w14:textId="659A68E0" w:rsidR="00BE5C75" w:rsidRDefault="004C234B" w:rsidP="00BE5C75">
      <w:pPr>
        <w:spacing w:after="120"/>
        <w:jc w:val="center"/>
        <w:rPr>
          <w:b/>
        </w:rPr>
      </w:pPr>
      <w:r>
        <w:rPr>
          <w:b/>
        </w:rPr>
        <w:t>27/2021. (V.28</w:t>
      </w:r>
      <w:r w:rsidR="00BE5C75">
        <w:rPr>
          <w:b/>
        </w:rPr>
        <w:t>.) HATÁROZATA</w:t>
      </w:r>
    </w:p>
    <w:p w14:paraId="3145254D" w14:textId="77777777" w:rsidR="00BE5C75" w:rsidRDefault="00BE5C75" w:rsidP="00BE5C75">
      <w:pPr>
        <w:spacing w:after="120"/>
        <w:jc w:val="center"/>
        <w:rPr>
          <w:b/>
        </w:rPr>
      </w:pPr>
    </w:p>
    <w:p w14:paraId="44B4CC58" w14:textId="77777777" w:rsidR="00BE5C75" w:rsidRDefault="00BE5C75" w:rsidP="00BE5C75">
      <w:pPr>
        <w:spacing w:after="120"/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2020. évi belső ellenőrzésről</w:t>
      </w:r>
    </w:p>
    <w:p w14:paraId="67102FD9" w14:textId="77777777" w:rsidR="00BE5C75" w:rsidRDefault="00BE5C75" w:rsidP="00BE5C75">
      <w:pPr>
        <w:spacing w:after="120"/>
        <w:jc w:val="center"/>
        <w:rPr>
          <w:b/>
        </w:rPr>
      </w:pPr>
    </w:p>
    <w:p w14:paraId="7308768A" w14:textId="77777777" w:rsidR="00BE5C75" w:rsidRDefault="00BE5C75" w:rsidP="00BE5C75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26B87CC0" w14:textId="77777777" w:rsidR="00BE5C75" w:rsidRDefault="00BE5C75" w:rsidP="00BE5C75">
      <w:pPr>
        <w:ind w:left="360"/>
        <w:jc w:val="both"/>
      </w:pPr>
    </w:p>
    <w:p w14:paraId="0E96ABE4" w14:textId="77777777" w:rsidR="00BE5C75" w:rsidRDefault="00BE5C75" w:rsidP="00BE5C75">
      <w:pPr>
        <w:ind w:left="360"/>
        <w:jc w:val="both"/>
      </w:pPr>
    </w:p>
    <w:p w14:paraId="454D1103" w14:textId="7FB33B86" w:rsidR="00BE5C75" w:rsidRDefault="00BE5C75" w:rsidP="00BE5C75">
      <w:pPr>
        <w:jc w:val="both"/>
      </w:pPr>
      <w:r>
        <w:t>Bezenye K</w:t>
      </w:r>
      <w:r w:rsidRPr="00073B39">
        <w:t>özség</w:t>
      </w:r>
      <w:r>
        <w:t>i Önkormányzat</w:t>
      </w:r>
      <w:r w:rsidRPr="00073B39">
        <w:t xml:space="preserve"> Képvisel</w:t>
      </w:r>
      <w:r>
        <w:t>ő-testülete nevében eljáró polgármesterként az önkormányzat 2020.</w:t>
      </w:r>
      <w:r w:rsidRPr="00073B39">
        <w:t xml:space="preserve"> évi</w:t>
      </w:r>
      <w:r>
        <w:t xml:space="preserve"> költségvetésében a Bezenyei Százszorszép Óvoda részére biztosított személyi juttatások előirányzat kialakításnak ellenőrzéséről szóló </w:t>
      </w:r>
      <w:r w:rsidRPr="00073B39">
        <w:t xml:space="preserve">függetlenített </w:t>
      </w:r>
      <w:r>
        <w:t>belső ellenőrzési tevékenység</w:t>
      </w:r>
      <w:r w:rsidRPr="00073B39">
        <w:t>ről szóló éves összefoglaló ellenőrzési jelentést az előterjesztés</w:t>
      </w:r>
      <w:r>
        <w:t xml:space="preserve"> szerinti tartalommal elfogadom, az abban foglaltak megvalósítása érdekében az alábbi intézkedési tervet határozom meg: </w:t>
      </w:r>
    </w:p>
    <w:p w14:paraId="389268FF" w14:textId="77777777" w:rsidR="00BE5C75" w:rsidRDefault="00BE5C75" w:rsidP="00BE5C75"/>
    <w:p w14:paraId="63D2CE5C" w14:textId="77777777" w:rsidR="00BE5C75" w:rsidRPr="00F06FA7" w:rsidRDefault="00BE5C75" w:rsidP="00BE5C75">
      <w:pPr>
        <w:pStyle w:val="Listaszerbekezds"/>
        <w:numPr>
          <w:ilvl w:val="0"/>
          <w:numId w:val="4"/>
        </w:numPr>
      </w:pPr>
      <w:r w:rsidRPr="00F06FA7">
        <w:t xml:space="preserve">Az </w:t>
      </w:r>
      <w:proofErr w:type="spellStart"/>
      <w:r w:rsidRPr="00F06FA7">
        <w:t>Ávr</w:t>
      </w:r>
      <w:proofErr w:type="spellEnd"/>
      <w:r w:rsidRPr="00F06FA7">
        <w:t>. 9. §</w:t>
      </w:r>
      <w:proofErr w:type="spellStart"/>
      <w:r w:rsidRPr="00F06FA7">
        <w:t>-ának</w:t>
      </w:r>
      <w:proofErr w:type="spellEnd"/>
      <w:r w:rsidRPr="00F06FA7">
        <w:t xml:space="preserve"> megfelelően el kell készíteni a munkamegosztási megállapodást az intézmény és a gazdálkodást lebonyolító szerv között, amelyet a Képviselő-testület elé kell terjeszteni jóváhagyás céljából. </w:t>
      </w:r>
    </w:p>
    <w:p w14:paraId="29438374" w14:textId="77777777" w:rsidR="00BE5C75" w:rsidRPr="00F06FA7" w:rsidRDefault="00BE5C75" w:rsidP="00BE5C75">
      <w:pPr>
        <w:numPr>
          <w:ilvl w:val="0"/>
          <w:numId w:val="4"/>
        </w:numPr>
        <w:jc w:val="both"/>
      </w:pPr>
      <w:r w:rsidRPr="00F06FA7">
        <w:t>A</w:t>
      </w:r>
      <w:r>
        <w:t xml:space="preserve"> jövőben az Önkormányzat</w:t>
      </w:r>
      <w:r w:rsidRPr="00F06FA7">
        <w:t xml:space="preserve"> éves költségvetési rendelet</w:t>
      </w:r>
      <w:r>
        <w:t>-</w:t>
      </w:r>
      <w:r w:rsidRPr="00F06FA7">
        <w:t xml:space="preserve">tervezetének Képviselő-testület elé történő terjesztésekor figyelemmel kell lenni az Áht. 24. § (3) bekezdésében foglaltakra. </w:t>
      </w:r>
    </w:p>
    <w:p w14:paraId="1E16BF6D" w14:textId="77777777" w:rsidR="00BE5C75" w:rsidRPr="00F06FA7" w:rsidRDefault="00BE5C75" w:rsidP="00BE5C75">
      <w:pPr>
        <w:numPr>
          <w:ilvl w:val="0"/>
          <w:numId w:val="4"/>
        </w:numPr>
        <w:jc w:val="both"/>
      </w:pPr>
      <w:r w:rsidRPr="00F06FA7">
        <w:t>A Jegyző az Intézményvezetővel a költségvetés elfogadása előtt a költségvetés „sarokszámait” (összes előirányzat – ezen belül kiemelt előirányzatokat) dokumentáltan egy</w:t>
      </w:r>
      <w:r>
        <w:t xml:space="preserve">eztetni kell. </w:t>
      </w:r>
      <w:r w:rsidRPr="00F06FA7">
        <w:t xml:space="preserve"> Érvényt kell szerezni az </w:t>
      </w:r>
      <w:proofErr w:type="spellStart"/>
      <w:r w:rsidRPr="00F06FA7">
        <w:t>Ávr</w:t>
      </w:r>
      <w:proofErr w:type="spellEnd"/>
      <w:r w:rsidRPr="00F06FA7">
        <w:t>. 27. §</w:t>
      </w:r>
      <w:proofErr w:type="spellStart"/>
      <w:r w:rsidRPr="00F06FA7">
        <w:t>-ában</w:t>
      </w:r>
      <w:proofErr w:type="spellEnd"/>
      <w:r w:rsidRPr="00F06FA7">
        <w:t xml:space="preserve"> foglalt előírásnak.</w:t>
      </w:r>
    </w:p>
    <w:p w14:paraId="69BA7A9B" w14:textId="77777777" w:rsidR="00BE5C75" w:rsidRPr="00F06FA7" w:rsidRDefault="00BE5C75" w:rsidP="00BE5C75">
      <w:pPr>
        <w:numPr>
          <w:ilvl w:val="0"/>
          <w:numId w:val="4"/>
        </w:numPr>
        <w:jc w:val="both"/>
      </w:pPr>
      <w:r w:rsidRPr="00F06FA7">
        <w:rPr>
          <w:bCs/>
        </w:rPr>
        <w:t>A költségvetési előirányzatokat megalapozó számítási anyagot</w:t>
      </w:r>
      <w:r w:rsidRPr="00F06FA7">
        <w:t xml:space="preserve"> szükséges minden esetben megőrizni.</w:t>
      </w:r>
    </w:p>
    <w:p w14:paraId="31FE8D7C" w14:textId="77777777" w:rsidR="00BE5C75" w:rsidRPr="00F06FA7" w:rsidRDefault="00BE5C75" w:rsidP="00BE5C75">
      <w:pPr>
        <w:numPr>
          <w:ilvl w:val="0"/>
          <w:numId w:val="4"/>
        </w:numPr>
        <w:jc w:val="both"/>
      </w:pPr>
      <w:r w:rsidRPr="00F06FA7">
        <w:t>Szükséges az érintett óvodapedagógusok részére számfejteni az elmaradt nemzetiségi pótlékrészt 2020. 01. 01-től</w:t>
      </w:r>
      <w:r>
        <w:t>.</w:t>
      </w:r>
      <w:r w:rsidRPr="00F06FA7">
        <w:t xml:space="preserve"> 2021. 01.01-jétől változatlan a 10 %, illetve 40 % mérték és az </w:t>
      </w:r>
      <w:proofErr w:type="spellStart"/>
      <w:r w:rsidRPr="00F06FA7">
        <w:t>Épr</w:t>
      </w:r>
      <w:proofErr w:type="spellEnd"/>
      <w:r w:rsidRPr="00F06FA7">
        <w:t>. szabályai sem változtak, így 2021. évben az eddig teljesült hónapokra vonatkozóan is meg kell téríteni az elmaradt pótlékrészt.</w:t>
      </w:r>
    </w:p>
    <w:p w14:paraId="0D86AD95" w14:textId="77777777" w:rsidR="00BE5C75" w:rsidRPr="00F06FA7" w:rsidRDefault="00BE5C75" w:rsidP="00BE5C75">
      <w:pPr>
        <w:numPr>
          <w:ilvl w:val="0"/>
          <w:numId w:val="4"/>
        </w:numPr>
        <w:jc w:val="both"/>
      </w:pPr>
      <w:r w:rsidRPr="00F06FA7">
        <w:t>A jövőben a foglalkoztatásokra vonatkozóan be kell tartani a Kjt. szabályait; az érintett dolgozót 2021. 01.01. hatállyal visszamenőlegesen a B fizetési osztály 5 fizetési fokozatába kell sorolni és részére megadni az ennek megfelelő mértékű pótszabadságot, illetve a kinevezésétől számított, a B fizetési osztály 4 fizetési fokozatában megillető időarányos fizetési fokozattal azonos mértékű pótszab</w:t>
      </w:r>
      <w:r>
        <w:t>adságot is</w:t>
      </w:r>
      <w:r w:rsidRPr="00F06FA7">
        <w:t xml:space="preserve"> meg kell állapítani részére.</w:t>
      </w:r>
    </w:p>
    <w:p w14:paraId="02BDF750" w14:textId="77777777" w:rsidR="00BE5C75" w:rsidRPr="00F06FA7" w:rsidRDefault="00BE5C75" w:rsidP="00BE5C75">
      <w:pPr>
        <w:numPr>
          <w:ilvl w:val="0"/>
          <w:numId w:val="4"/>
        </w:numPr>
        <w:jc w:val="both"/>
      </w:pPr>
      <w:proofErr w:type="spellStart"/>
      <w:r w:rsidRPr="00DC4ACD">
        <w:rPr>
          <w:i/>
        </w:rPr>
        <w:lastRenderedPageBreak/>
        <w:t>S</w:t>
      </w:r>
      <w:proofErr w:type="gramStart"/>
      <w:r w:rsidRPr="00DC4ACD">
        <w:rPr>
          <w:i/>
        </w:rPr>
        <w:t>.A</w:t>
      </w:r>
      <w:proofErr w:type="gramEnd"/>
      <w:r w:rsidRPr="00DC4ACD">
        <w:rPr>
          <w:i/>
        </w:rPr>
        <w:t>.-né</w:t>
      </w:r>
      <w:proofErr w:type="spellEnd"/>
      <w:r w:rsidRPr="00DC4ACD">
        <w:rPr>
          <w:i/>
        </w:rPr>
        <w:t xml:space="preserve"> (S.Z.)</w:t>
      </w:r>
      <w:r w:rsidRPr="00F06FA7">
        <w:t xml:space="preserve"> részére 2018. 07.10-től, </w:t>
      </w:r>
      <w:r w:rsidRPr="00DC4ACD">
        <w:t>B.-A.K.</w:t>
      </w:r>
      <w:r w:rsidRPr="00F06FA7">
        <w:t xml:space="preserve"> részére 2020. 03.01-től pótlólag</w:t>
      </w:r>
      <w:bookmarkStart w:id="0" w:name="_GoBack"/>
      <w:bookmarkEnd w:id="0"/>
      <w:r w:rsidRPr="00F06FA7">
        <w:t xml:space="preserve"> szükséges kimutatni az elmaradt illetményt és rendezni a dolgozók felé a juttatást. A kötelező 7 % mellett a 3 % rész különbözetét is ki kell fizetni a dolgozóknak – tekintve, hogy a keret felhasználásánál ez volt a szándék.    </w:t>
      </w:r>
    </w:p>
    <w:p w14:paraId="4CC564CB" w14:textId="77777777" w:rsidR="00BE5C75" w:rsidRPr="00F06FA7" w:rsidRDefault="00BE5C75" w:rsidP="00BE5C75">
      <w:pPr>
        <w:pStyle w:val="Bekezds"/>
        <w:numPr>
          <w:ilvl w:val="0"/>
          <w:numId w:val="4"/>
        </w:numPr>
        <w:jc w:val="both"/>
        <w:rPr>
          <w:bCs/>
        </w:rPr>
      </w:pPr>
      <w:r w:rsidRPr="00F06FA7">
        <w:rPr>
          <w:bCs/>
        </w:rPr>
        <w:t>Szükséges az SZMSZ mellékleteként szabályozni a Kjt. alapján a kereset-kiegészítés juttatásának feltételeit!</w:t>
      </w:r>
    </w:p>
    <w:p w14:paraId="4BB8AA72" w14:textId="77777777" w:rsidR="00BE5C75" w:rsidRPr="00F06FA7" w:rsidRDefault="00BE5C75" w:rsidP="00BE5C75">
      <w:pPr>
        <w:pStyle w:val="Bekezds"/>
        <w:numPr>
          <w:ilvl w:val="0"/>
          <w:numId w:val="4"/>
        </w:numPr>
        <w:jc w:val="both"/>
        <w:rPr>
          <w:bCs/>
        </w:rPr>
      </w:pPr>
      <w:r w:rsidRPr="00F06FA7">
        <w:t>A 39/2010. (II.26.) Kormányrendeletnek megfelelően a munkába járási költségtérítésre vonatkozó nyilatkozatot ki kell tölteni és megállapodást kell kötni a dolgozó gépkocsival történő munkába járás feltételeire vonatkozóan.</w:t>
      </w:r>
    </w:p>
    <w:p w14:paraId="066FBB13" w14:textId="77777777" w:rsidR="00BE5C75" w:rsidRPr="00F06FA7" w:rsidRDefault="00BE5C75" w:rsidP="00BE5C75">
      <w:pPr>
        <w:jc w:val="both"/>
      </w:pPr>
    </w:p>
    <w:p w14:paraId="07686B59" w14:textId="77777777" w:rsidR="00BE5C75" w:rsidRDefault="00BE5C75" w:rsidP="00BE5C75">
      <w:r>
        <w:t>Felelős: Rábelné Bors Judit óvodavezető</w:t>
      </w:r>
    </w:p>
    <w:p w14:paraId="4BEAE596" w14:textId="77777777" w:rsidR="00BE5C75" w:rsidRDefault="00BE5C75" w:rsidP="00BE5C75">
      <w:r>
        <w:tab/>
        <w:t xml:space="preserve">  Dr. Gáli Péter jegyző</w:t>
      </w:r>
    </w:p>
    <w:p w14:paraId="0D76846F" w14:textId="77777777" w:rsidR="00BE5C75" w:rsidRDefault="00BE5C75" w:rsidP="00BE5C75">
      <w:r>
        <w:tab/>
        <w:t xml:space="preserve">  Márkus Erika polgármester</w:t>
      </w:r>
    </w:p>
    <w:p w14:paraId="16C3611B" w14:textId="4325C35D" w:rsidR="00BE5C75" w:rsidRDefault="00DC4ACD" w:rsidP="00BE5C75">
      <w:r>
        <w:t>Határidő: 2021. május 31</w:t>
      </w:r>
      <w:proofErr w:type="gramStart"/>
      <w:r w:rsidR="00BE5C75">
        <w:t>.</w:t>
      </w:r>
      <w:r>
        <w:t>,</w:t>
      </w:r>
      <w:proofErr w:type="gramEnd"/>
      <w:r>
        <w:t xml:space="preserve"> majd folyamatos</w:t>
      </w:r>
    </w:p>
    <w:p w14:paraId="607106EC" w14:textId="77777777" w:rsidR="00BE5C75" w:rsidRDefault="00BE5C75" w:rsidP="00BE5C75"/>
    <w:p w14:paraId="6B237BD3" w14:textId="77777777" w:rsidR="00BE5C75" w:rsidRDefault="00BE5C75" w:rsidP="00BE5C75"/>
    <w:p w14:paraId="4B5243AA" w14:textId="77777777" w:rsidR="00BE5C75" w:rsidRDefault="00BE5C75" w:rsidP="00BE5C75"/>
    <w:p w14:paraId="2DFAADE5" w14:textId="77777777" w:rsidR="00BE5C75" w:rsidRDefault="00BE5C75" w:rsidP="00BE5C75"/>
    <w:p w14:paraId="04EDFB91" w14:textId="3FB18A4B" w:rsidR="00BE5C75" w:rsidRDefault="004C234B" w:rsidP="00BE5C75">
      <w:r>
        <w:t>Bezenye, 2021. május 28</w:t>
      </w:r>
      <w:r w:rsidR="00BE5C75">
        <w:t>.</w:t>
      </w:r>
    </w:p>
    <w:p w14:paraId="38D8A731" w14:textId="77777777" w:rsidR="00BE5C75" w:rsidRDefault="00BE5C75" w:rsidP="00BE5C75"/>
    <w:p w14:paraId="6A92E182" w14:textId="77777777" w:rsidR="00BE5C75" w:rsidRDefault="00BE5C75" w:rsidP="00BE5C75"/>
    <w:p w14:paraId="1FE228D9" w14:textId="77777777" w:rsidR="00BE5C75" w:rsidRDefault="00BE5C75" w:rsidP="00BE5C75"/>
    <w:p w14:paraId="4245C088" w14:textId="77777777" w:rsidR="00BE5C75" w:rsidRDefault="00BE5C75" w:rsidP="00BE5C75"/>
    <w:p w14:paraId="08F807FD" w14:textId="77777777" w:rsidR="00BE5C75" w:rsidRDefault="00BE5C75" w:rsidP="00BE5C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2E571B93" w14:textId="77777777" w:rsidR="00BE5C75" w:rsidRPr="00F06FA7" w:rsidRDefault="00BE5C75" w:rsidP="00BE5C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64F9A4DC" w14:textId="77777777" w:rsidR="004945A0" w:rsidRDefault="004945A0" w:rsidP="001B5EAD">
      <w:pPr>
        <w:jc w:val="both"/>
      </w:pPr>
    </w:p>
    <w:p w14:paraId="53D87944" w14:textId="77777777" w:rsidR="003B6388" w:rsidRDefault="003B6388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A6DA1"/>
    <w:multiLevelType w:val="hybridMultilevel"/>
    <w:tmpl w:val="EB5AA2E2"/>
    <w:lvl w:ilvl="0" w:tplc="3106080A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C234B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5C75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4ACD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ekezds">
    <w:name w:val="Bekezdés"/>
    <w:uiPriority w:val="99"/>
    <w:rsid w:val="00BE5C75"/>
    <w:pPr>
      <w:widowControl w:val="0"/>
      <w:autoSpaceDE w:val="0"/>
      <w:autoSpaceDN w:val="0"/>
      <w:adjustRightInd w:val="0"/>
      <w:ind w:firstLine="202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61EDE-8E36-45C6-A7D0-43770354F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3030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2021-06-01T09:37:00Z</cp:lastPrinted>
  <dcterms:created xsi:type="dcterms:W3CDTF">2021-05-26T09:52:00Z</dcterms:created>
  <dcterms:modified xsi:type="dcterms:W3CDTF">2021-06-01T09:38:00Z</dcterms:modified>
</cp:coreProperties>
</file>